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Детская кардиология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Детская кардиология | Записей: 2</w:t>
      </w:r>
    </w:p>
    <w:p>
      <w:r>
        <w:br w:type="page"/>
      </w:r>
    </w:p>
    <w:p>
      <w:pPr>
        <w:pStyle w:val="Heading1"/>
      </w:pPr>
      <w:r>
        <w:t>Детская кардиология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Детская 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15 лет госпитализирована в детское кардиологическое отделение в связи с выявленными на амбулаторном этапе признаками гипертрофии миокарда левого желудочка.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нет.</w:t>
      </w:r>
    </w:p>
    <w:p>
      <w:pPr>
        <w:spacing w:after="58"/>
      </w:pPr>
      <w:r>
        <w:rPr>
          <w:b w:val="0"/>
          <w:i w:val="0"/>
        </w:rPr>
        <w:t>Синкопальные и пресинкопальные состояния, перебои в работе сердца, приступы учащенного сердцебиения отрицает.</w:t>
      </w:r>
    </w:p>
    <w:p>
      <w:pPr>
        <w:spacing w:after="58"/>
      </w:pPr>
      <w:r>
        <w:rPr>
          <w:b w:val="0"/>
          <w:i w:val="0"/>
        </w:rPr>
        <w:t>Физическую нагрузку переносит удовлетворительно.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ЭХОКГ в возрасте 7 лет (при прохождении планового профилактического осмотра): размеры камер сердца, толщина миокарда в норме, сократительная функция не нарушена.</w:t>
      </w:r>
    </w:p>
    <w:p>
      <w:pPr>
        <w:spacing w:after="58"/>
      </w:pPr>
      <w:r>
        <w:rPr>
          <w:b w:val="0"/>
          <w:i w:val="0"/>
        </w:rPr>
        <w:t>С 13 лет на ЭКГ определяются признаки гипертрофии левого желудочка. Наблюдалась кардиологом по месту жительства, терапию не получала.</w:t>
      </w:r>
    </w:p>
    <w:p>
      <w:pPr>
        <w:spacing w:after="58"/>
      </w:pPr>
      <w:r>
        <w:rPr>
          <w:b w:val="0"/>
          <w:i w:val="0"/>
        </w:rPr>
        <w:t>ЭХОКГ в возрасте 15 лет: гипертрофия миокарда левого желудочка (МЖП 22 мм, ЗСЛЖ 22 мм).</w:t>
      </w:r>
    </w:p>
    <w:p>
      <w:pPr>
        <w:spacing w:after="58"/>
      </w:pPr>
      <w:r>
        <w:rPr>
          <w:b w:val="0"/>
          <w:i w:val="0"/>
        </w:rPr>
        <w:t>Направлена на стационарное обследование.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беременности, 2 родов, путём экстренного кесарево сечения на 34 неделе (поперечное предлежание плода, центральное предлежание плаценты, кровотечение).</w:t>
      </w:r>
    </w:p>
    <w:p>
      <w:pPr>
        <w:spacing w:after="58"/>
      </w:pPr>
      <w:r>
        <w:rPr>
          <w:b w:val="0"/>
          <w:i w:val="0"/>
        </w:rPr>
        <w:t>* При рождении масса тела 2410 г, рост 48 см, оценка по шкале Апгар 4/7 баллов.</w:t>
      </w:r>
    </w:p>
    <w:p>
      <w:pPr>
        <w:spacing w:after="58"/>
      </w:pPr>
      <w:r>
        <w:rPr>
          <w:b w:val="0"/>
          <w:i w:val="0"/>
        </w:rPr>
        <w:t>* Состояние при рождении тяжёлое за счёт дыхательной недостаточности, неврологических нарушений.</w:t>
      </w:r>
    </w:p>
    <w:p>
      <w:pPr>
        <w:spacing w:after="58"/>
      </w:pPr>
      <w:r>
        <w:rPr>
          <w:b w:val="0"/>
          <w:i w:val="0"/>
        </w:rPr>
        <w:t>* Состоит на диспансерном учете у невролога, психиатра с диагнозом: резидуально-органическое поражение ЦНС со снижением когнитивных функций.</w:t>
      </w:r>
    </w:p>
    <w:p>
      <w:pPr>
        <w:spacing w:after="58"/>
      </w:pPr>
      <w:r>
        <w:rPr>
          <w:b w:val="0"/>
          <w:i w:val="0"/>
        </w:rPr>
        <w:t>* На диспансерном учете у офтальмолога (расходящееся косоглазие OU).</w:t>
      </w:r>
    </w:p>
    <w:p>
      <w:pPr>
        <w:spacing w:after="58"/>
      </w:pPr>
      <w:r>
        <w:rPr>
          <w:b w:val="0"/>
          <w:i w:val="0"/>
        </w:rPr>
        <w:t>* Профилактические прививки по индивидуальному плану.</w:t>
      </w:r>
    </w:p>
    <w:p>
      <w:pPr>
        <w:spacing w:after="58"/>
      </w:pPr>
      <w:r>
        <w:rPr>
          <w:b w:val="0"/>
          <w:i w:val="0"/>
        </w:rPr>
        <w:t>* Перенесенные болезни: ветряная оспа в возрасте 6 лет, ОРВИ 1-2 раза в год.</w:t>
      </w:r>
    </w:p>
    <w:p>
      <w:pPr>
        <w:spacing w:after="58"/>
      </w:pPr>
      <w:r>
        <w:rPr>
          <w:b w:val="0"/>
          <w:i w:val="0"/>
        </w:rPr>
        <w:t>* Травмы, операции отрицает.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Семейный анамнез: у бабушки по материнской линии - порок сердца (точный диагноз неизвестен). Старший брат здоров. Случаев внезапной сердечной смерти в семье не отмечено.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Телосложение гиперстеническое, избыток массы тела (вес 73 кг; рост 164 см; индекс массы тела 27,1 кг/м2). Кожные покровы бледно-розовые, чистые. Небные дужки не гиперемированы, небные миндалины не увеличены. Периферических отеков нет. В легких дыхание везикулярное, проводится равномерно во все отделы, хрипов нет. Определяется усиленный верхушечный толчок. Тоны сердца звучные, ритмичные. Грубый веретенообразный систолический шум у левого края грудины. ЧСС 80 уд/мин., АД (d=s) 110/70 мм рт. ст. SpO2 99%. Пульсация на бедренных артериях удовлетворительная, симметричная. Живот мягкий, при пальпации безболезненный во всех отделах. Печень и селезенка не увеличены. Симптом поколачивания по поясничной области отрицательный.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лабораторными исследованиями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ревматоидного фактора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уровня метанефринов в суточной моче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определение уровня натрийуретического пептида в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определение показателей липидограммы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биохимический анализ крови; клинический анализ крови; определение уровня натрийуретического пептида в крови; определение показателей липидограммы</w:t>
      </w:r>
    </w:p>
    <w:p>
      <w:pPr>
        <w:ind w:left="504"/>
      </w:pPr>
      <w:r>
        <w:rPr>
          <w:b w:val="0"/>
          <w:i/>
        </w:rPr>
        <w:t>У всех пациентов с ГКМП для выявления сопутствующих заболеваний рекомендуется рутинное лабораторное обследование, включающее клинический анализ крови и общий анализ мочи, биохимический анализ крови (холестерин, триглицериды, калий, натрий, АСТ, АЛТ, мочевина, креатинин, билирубин, глюкоза).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всех пациентов с ГКМП для выявления сопутствующих заболеваний рекомендуется рутинное лабораторное обследование, включающее клинический анализ крови и общий анализ мочи, биохимический анализ крови (холестерин, триглицериды, калий, натрий, АСТ, АЛТ, мочевина, креатинин, билирубин, глюкоза).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больных ГКМП с выраженной миокардиальной дисфункцией рекомендуется исследование концентрации N-терминального про-мозгового натрийуретического пептида (Nt-proBNP) и высокоспецифичного сердечного тропонина в плазме крови.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всех пациентов с ГКМП для выявления сопутствующих заболеваний рекомендуется рутинное лабораторное обследование, включающее клинический анализ крови и общий анализ мочи, биохимический анализ крови (холестерин, триглицериды, калий, натрий, АСТ, АЛТ, мочевина, креатинин, билирубин, глюкоза).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необходимым для постановки диагноза инструментальным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трансторакальную эхокардиографию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электрокардиографию в 12 отведениях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МРТ сердца с контрастированием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УЗИ органов брюшной полости и забрюшинного пространства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рентгенографию органов грудной клетки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УЗИ щитовидной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трансторакальную эхокардиографию; электрокардиографию в 12 отведениях; МРТ сердца с контрастированием</w:t>
      </w:r>
    </w:p>
    <w:p>
      <w:pPr>
        <w:ind w:left="504"/>
      </w:pPr>
      <w:r>
        <w:rPr>
          <w:b w:val="0"/>
          <w:i/>
        </w:rPr>
        <w:t>Трансторакальное ЭХОКГ-исследование пациентам с ГКМП рекомендуется выполнять в соответствии с рекомендациями по эхокардиографии AHA, ASE (American Society of Echocardiography) и EACI (European Association of Cardiovascular Imaging).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Проведение ЭКГ (в 12 отведениях) рекомендуется при первичном обследовании всех пациентов с подозрением на ГКМП и в процессе динамического наблюдения 2 раза в год, либо при ухудшении состояния.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МРТ сердца с контрастированием (при отсутствии противопоказаний) рекомендуется выполнить как минимум один раз после постановки диагноза ГКМП для уточнения данных ЭХОКГ (анатомии сердца, функции желудочков), а также выявления и оценки распространенности фиброза миокарда и исключения других заболеваний.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исключения нарушений ритма у данной пациентки при первичном клиническом обследовании рекомендуется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24-часового мониторинга ЭКГ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чреспищеводного электрофизиологического исследования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электрокардиографии в 12 отведениях после 10 приседаний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48-72 часового мониторинга ЭКГ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48-72 часового мониторинга ЭКГ</w:t>
      </w:r>
    </w:p>
    <w:p>
      <w:pPr>
        <w:ind w:left="504"/>
      </w:pPr>
      <w:r>
        <w:rPr>
          <w:b w:val="0"/>
          <w:i/>
        </w:rPr>
        <w:t>Проведение ХМЭКГ (оптимально продолжительностью 48–72 часа) рекомендуется при первичном клиническом обследовании и каждые 12–24 месяцев.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Учитывая данные лабораторных и инструментальных методов обследования, пациентке можно поставить основной диагноз: Гипертрофическая кардиомиопатия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симметричная, необструктивная форма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ассиметричная, обструктивная форма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ассиметричная, необструктивная форма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латентная обструктивная форма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ассиметричная, обструктивная форма</w:t>
      </w:r>
    </w:p>
    <w:p>
      <w:pPr>
        <w:ind w:left="504"/>
      </w:pPr>
      <w:r>
        <w:rPr>
          <w:b w:val="0"/>
          <w:i/>
        </w:rPr>
        <w:t>Гемодинамический принцип классификации ГКМП</w:t>
        <w:br/>
        <w:br/>
        <w:t>По наличию градиента обструкции ВТЛЖ в покое и при нагрузке выделяют:</w:t>
        <w:br/>
        <w:br/>
        <w:t>* необструктивную ГКМП: при наличии градиента давления в ВТЛЖ &lt;30 мм рт.ст. в покое и при нагрузке.</w:t>
        <w:br/>
        <w:t>* обструктивную ГКМП: при наличии градиента давления в ВТЛЖ &gt;30 (50) мм рт. ст. в покое и при нагрузке.</w:t>
        <w:br/>
        <w:t>* латентную обструктивную форму ГКМП: при наличии градиента давления в ВТЛЖ &lt;30 в покое и &gt;30 (50) мм рт. ст. при нагрузке.</w:t>
        <w:br/>
        <w:br/>
        <w:t>Морфологический принцип классификации ГКМП</w:t>
        <w:br/>
        <w:br/>
        <w:t>Асимметричная форма ГКМП</w:t>
        <w:br/>
        <w:br/>
        <w:t>* Гипертрофия МЖП (возможно вовлечение в патологический процесс ПЖ):</w:t>
        <w:br/>
        <w:br/>
        <w:t>** Базальной части МЖП (субаортальная)</w:t>
        <w:br/>
        <w:t>** Сигмовидная МЖП</w:t>
        <w:br/>
        <w:t>** Гипертрофия всей МЖП</w:t>
        <w:br/>
        <w:t>** Двояковыпуклая МЖП (англ. «reversecurve») преимущественно среднежелудочковая гипертрофия МЖП без вовлечения свободной стенки ЛЖ</w:t>
        <w:br/>
        <w:t>** Комбинированная (МЖП + другой отдел ЛЖ или ПЖ)</w:t>
        <w:br/>
        <w:br/>
        <w:t>* Апикальная гипертрофия (+/- срединные сегменты ЛЖ)</w:t>
        <w:br/>
        <w:t>* Среднежелудочковая ГКМП (с вовлечением срединных отделов не только МЖП, но и свободной стенки ЛЖ, ЛЖ типа «песочные часы»)</w:t>
        <w:br/>
        <w:t>* Гипертрофия другой стенки ЛЖ (боковая, задняя)</w:t>
        <w:br/>
        <w:br/>
        <w:t>Симметричная форма ГКМП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Осложнением основного заболевания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устойчивая мономорфная желудочковая тахикардия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групповая желудочковая экстрасистолия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желудочковая экстрасистолия высоких градаций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неустойчивая мономорфная желудочковая тахикардия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неустойчивая мономорфная желудочковая тахикардия</w:t>
      </w:r>
    </w:p>
    <w:p>
      <w:pPr>
        <w:ind w:left="504"/>
      </w:pPr>
      <w:r>
        <w:rPr>
          <w:b w:val="0"/>
          <w:i/>
        </w:rPr>
        <w:t>Неустойчивая желудочковая тахикардия (НУЖТ) – 3 и более комплекса QRS, продолжительностью &lt; 30 сек.</w:t>
        <w:br/>
        <w:t>Мономорфная ЖТ – ЖТ при наличии одинаковой конфигурации QRS-комплексов.</w:t>
        <w:br/>
        <w:br/>
      </w:r>
      <w:hyperlink r:id="rId18">
        <w:r>
          <w:rPr>
            <w:color w:val="0F766E"/>
            <w:u w:val="single"/>
          </w:rPr>
          <w:t>Клинические рекомендации Минздрава России. Желудочковые нарушения ритма. Желудочковые тахикардии и внезапная сердечная смерть, 2020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Дифференциальную диагностику ГКМП следует проводить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констриктивным перикардитом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аритмогенной дисфункцией миокарда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системной артериальной гипертензией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хроническим миокардитом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системной артериальной гипертензией</w:t>
      </w:r>
    </w:p>
    <w:p>
      <w:pPr>
        <w:ind w:left="504"/>
      </w:pPr>
      <w:r>
        <w:rPr>
          <w:b w:val="0"/>
          <w:i/>
        </w:rPr>
        <w:t>Требуется проведение дифференциальной диагностики с такими состояниями, как АГ и спортивное ремоделирование миокарда.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Стабильная артериальная гипертензия может приводить к гипертрофии миокарда. Однако наличие у больного с гипертрофией миокарда артериальной гипертензии не исключает диагноз ГКМП. У таких больных необходимо проведение дифференциальной диагностики межу первичной и вторичной гипертрофией миокарда.</w:t>
        <w:br/>
        <w:br/>
      </w:r>
      <w:hyperlink r:id="rId22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Медикаментозная терапия в данном клиническом случае включает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тиазидных диуретиков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сердечных гликозидов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ингибиторов АПФ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β-адреноблокаторов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β-адреноблокаторов</w:t>
      </w:r>
    </w:p>
    <w:p>
      <w:pPr>
        <w:ind w:left="504"/>
      </w:pPr>
      <w:r>
        <w:rPr>
          <w:b w:val="0"/>
          <w:i/>
        </w:rPr>
        <w:t>Детям с ГКМП (в том числе бессимптомно текущей) и любой формой миокардиальной дисфункции (диастолической, глобальной систолической или локальной систолической) показано назначение бета-блокатора.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стратификации рисков внезапной сердечной смерти у пациентов с ГКМП рекомендовано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уреазного дыхательного теста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тредмил-теста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тилт-теста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электроэнцефалограммы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тредмил-теста</w:t>
      </w:r>
    </w:p>
    <w:p>
      <w:pPr>
        <w:ind w:left="504"/>
      </w:pPr>
      <w:r>
        <w:rPr>
          <w:b w:val="0"/>
          <w:i/>
        </w:rPr>
        <w:t>Тредмил-тест с мониторированием ЭКГ и АД рекомендуется для стратификации риска ВСС пациентов с ГКМП, при недоступности или невозможности выполнения эргоспирометрии.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Методами лечения гипертрофической кардиомиопатии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медикаментозная терапия, регулярные высокодинамические физические нагрузки, имплантация электрокардиостимулятора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медикаментозная терапия, регулярные высокодинамические физические нагрузки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оперативное лечение, имплантация электрокардиостимулятора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медикаментозная терапия, оперативное лечение, механическая поддержка кровообращения и трансплантация сердца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медикаментозная терапия, оперативное лечение, механическая поддержка кровообращения и трансплантация сердца</w:t>
      </w:r>
    </w:p>
    <w:p>
      <w:pPr>
        <w:ind w:left="504"/>
      </w:pPr>
      <w:r>
        <w:rPr>
          <w:b w:val="0"/>
          <w:i/>
        </w:rPr>
        <w:t>Для лечения ГКМП у детей используют медикаментозную терапию, оперативное лечение, механическую поддержку кровообращения и трансплантацию сердца.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Хирургическая редукция межжелудочковой перегородки показана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асимптомной необструктивной ГКМП при наличии эпизодов неустойчивой желудочковой тахикардии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всех вариантах асимметричной ГКМП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симптомной ГКМП с обструкцией ВТЛЖ (градиент ≥ 50 мм рт. ст.) и недостаточной эффективности медикаментозной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асимптомной ГКМП с динамической обструкцией ВТЛЖ (градиент давления после нагрузочных тестов ≥ 50 мм рт. ст.)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симптомной ГКМП с обструкцией ВТЛЖ (градиент ≥ 50 мм рт. ст.) и недостаточной эффективности медикаментозной терапии</w:t>
      </w:r>
    </w:p>
    <w:p>
      <w:pPr>
        <w:ind w:left="504"/>
      </w:pPr>
      <w:r>
        <w:rPr>
          <w:b w:val="0"/>
          <w:i/>
        </w:rPr>
        <w:t>Вопрос о проведении редукции МЖП рекомендуется обсуждать у пациентов с ГКМП при наличии ГД в ВТЛЖ (в покое или максимальным провоцируемым) ≥ 50 мм рт.ст., с ХСН III–IV ФК (NYHA), несмотря на максимальную переносимую терапию.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Имплантация кардиовертера-дефибриллятора пациентам детского возраста с ГКМП показана при наличии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частой желудочковой экстрасистолии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редких неустойчивых пароксизмов желудочковой тахикардии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остановки сердца вследствие желудочковой тахикардии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пароксизмов предсердной тахикардии, компенсируемых эффективной антиаритмической терапией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остановки сердца вследствие желудочковой тахикардии</w:t>
      </w:r>
    </w:p>
    <w:p>
      <w:pPr>
        <w:ind w:left="504"/>
      </w:pPr>
      <w:r>
        <w:rPr>
          <w:b w:val="0"/>
          <w:i/>
        </w:rPr>
        <w:t>Рекомендуется имплантация ИКД у пациентов с ГКМП, перенесших остановку сердца по причине ЖТ или ФЖ, или у пациентов со спонтанной устойчивой ЖТ, приводящей к потере сознания или нарушения гемодинамики, при ожидаемой продолжительности жизни &gt;1 года.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Шкала «HCMRiskSCD» используется с целью стратификации риска ВСС у пациентов с ГКМП, вызванных мутациями саркомерных белков, достигших возраста _____ 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16</w:t>
      </w:r>
    </w:p>
    <w:p>
      <w:pPr>
        <w:ind w:left="504"/>
      </w:pPr>
      <w:r>
        <w:rPr>
          <w:b w:val="0"/>
          <w:i/>
        </w:rPr>
        <w:t>Шкала HCM Risk-SCD рекомендуется в качестве метода оценки риска внезапной смерти в течение 5 лет для пациентов ≥16 лет с ГКМП, вызванной мутациями саркомерных белков, без случаев реанимации после эпизодов ЖТ/ФЖ или спонтанной устойчивой ЖТ с потерей сознания или гемодинамическими нарушениями.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Детская кардиология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Детская 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Мальчик 13 лет экстренно поступил в стационар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ухудшение самочувствия, слабость, вялость, однократную рвоту, рецидивирующие синкопальные состояния в течение последних суток до госпитализации.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 пациента при рождении диагностирован врожденный порок сердца: единственный двуприточный желудочек сердца, мальпозиция магистральных сосудов, небольшой субаортальный стеноз, рестриктивный дефект бульбовентрикулярной перегородки, дефект межпредсердной перегородки, коарктация аорты.</w:t>
      </w:r>
    </w:p>
    <w:p>
      <w:pPr>
        <w:spacing w:after="58"/>
      </w:pPr>
      <w:r>
        <w:rPr>
          <w:b w:val="0"/>
          <w:i w:val="0"/>
        </w:rPr>
        <w:t>Пациенту проведена многоэтапная паллиативная хирургическая коррекция</w:t>
      </w:r>
    </w:p>
    <w:p>
      <w:pPr>
        <w:spacing w:after="58"/>
      </w:pPr>
      <w:r>
        <w:rPr>
          <w:b w:val="0"/>
          <w:i w:val="0"/>
        </w:rPr>
        <w:t>В 6 месяцев: суживание легочной артерии, устранение коарктации аорты. В 6 лет наложение верхнего кавапульмонального анастомоза (операция Глена) В 10 лет наложение анастомоз между легочной артерией и нижней полой веной с помощью кондуита Gore-Тex (24 мм), расширение дефекта бульбовентрикулярной перегородки. В раннем послеоперационном периоде отмечалась полная АВ блокада, по поводу которой находился на ВЭКС с последующей имплантацией постоянного двухкамерного эпикардиального ЭКС</w:t>
      </w:r>
    </w:p>
    <w:p>
      <w:pPr>
        <w:spacing w:after="58"/>
      </w:pPr>
      <w:r>
        <w:rPr>
          <w:b w:val="0"/>
          <w:i w:val="0"/>
        </w:rPr>
        <w:t>В настоящее время получает комбинированную терапию ХСН (лозартан 6,25 мг 2 раза в сутки, спиронолактон 1 мг/кг/сут) и ацетилсалициловую кислоту 2 мг/кг/сут</w:t>
      </w:r>
    </w:p>
    <w:p>
      <w:pPr>
        <w:spacing w:after="58"/>
      </w:pPr>
      <w:r>
        <w:rPr>
          <w:b w:val="0"/>
          <w:i w:val="0"/>
        </w:rPr>
        <w:t>Со слов матери накануне упал и ударился областью живота. До данного эпизода предъявлял только жалобы на снижение толерантности к физической нагрузке, одышку при интенсивной физической нагрузке без отрицательной динамики в течение последних 2 лет.</w:t>
      </w:r>
    </w:p>
    <w:p>
      <w:pPr>
        <w:spacing w:after="58"/>
      </w:pPr>
      <w:r>
        <w:rPr>
          <w:b w:val="0"/>
          <w:i w:val="0"/>
        </w:rPr>
        <w:t>На ЭКГ в приемном отделении (25 мм/сек):</w:t>
      </w:r>
    </w:p>
    <w:p>
      <w:r>
        <w:drawing>
          <wp:inline xmlns:a="http://schemas.openxmlformats.org/drawingml/2006/main" xmlns:pic="http://schemas.openxmlformats.org/drawingml/2006/picture">
            <wp:extent cx="5303520" cy="128610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6b78a8b2f0a8cede84db1e1dc653e4293f74c89.jp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28610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Анамнез заболевания</w:t>
      </w:r>
    </w:p>
    <w:p>
      <w:r>
        <w:drawing>
          <wp:inline xmlns:a="http://schemas.openxmlformats.org/drawingml/2006/main" xmlns:pic="http://schemas.openxmlformats.org/drawingml/2006/picture">
            <wp:extent cx="5303520" cy="105407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69401cb966bc703f2d6240582a6bf9b3886a3d8.jp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0540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Анамнез заболевания</w:t>
      </w:r>
    </w:p>
    <w:p>
      <w:r>
        <w:drawing>
          <wp:inline xmlns:a="http://schemas.openxmlformats.org/drawingml/2006/main" xmlns:pic="http://schemas.openxmlformats.org/drawingml/2006/picture">
            <wp:extent cx="5303520" cy="1420837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999556093960c120710a0b8f1d403b73ee4e2be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42083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Анамнез заболевания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беременности, протекавшей на фоне токсикоза в 1 триместре, ОРВИ на 8/9 неделе беременности (острый ринит)</w:t>
      </w:r>
    </w:p>
    <w:p>
      <w:pPr>
        <w:spacing w:after="58"/>
      </w:pPr>
      <w:r>
        <w:rPr>
          <w:b w:val="0"/>
          <w:i w:val="0"/>
        </w:rPr>
        <w:t>* Роды 2, срочные, Кесарево сечение</w:t>
      </w:r>
    </w:p>
    <w:p>
      <w:pPr>
        <w:spacing w:after="58"/>
      </w:pPr>
      <w:r>
        <w:rPr>
          <w:b w:val="0"/>
          <w:i w:val="0"/>
        </w:rPr>
        <w:t>* Длина тела при рождении 54 см, масса тела при рождении 3200 гр. Апгар 8/9 баллов</w:t>
      </w:r>
    </w:p>
    <w:p>
      <w:pPr>
        <w:spacing w:after="58"/>
      </w:pPr>
      <w:r>
        <w:rPr>
          <w:b w:val="0"/>
          <w:i w:val="0"/>
        </w:rPr>
        <w:t>* На 1 году жизни наблюдался неврологом с диагнозом: гипоксически-ишемическое поражение ЦНС</w:t>
      </w:r>
    </w:p>
    <w:p>
      <w:pPr>
        <w:spacing w:after="58"/>
      </w:pPr>
      <w:r>
        <w:rPr>
          <w:b w:val="0"/>
          <w:i w:val="0"/>
        </w:rPr>
        <w:t>* Перенесенные заболевания: ОРВИ 6-8 раз в год. Фолликулярная ангина в 8 лет</w:t>
      </w:r>
    </w:p>
    <w:p>
      <w:pPr>
        <w:spacing w:after="58"/>
      </w:pPr>
      <w:r>
        <w:rPr>
          <w:b w:val="0"/>
          <w:i w:val="0"/>
        </w:rPr>
        <w:t>* Операции, травмы: отрицает</w:t>
      </w:r>
    </w:p>
    <w:p>
      <w:pPr>
        <w:spacing w:after="58"/>
      </w:pPr>
      <w:r>
        <w:rPr>
          <w:b w:val="0"/>
          <w:i w:val="0"/>
        </w:rPr>
        <w:t>* Привит по возрасту согласно Национальному календарю профилактических прививок</w:t>
      </w:r>
    </w:p>
    <w:p>
      <w:pPr>
        <w:spacing w:after="58"/>
      </w:pPr>
      <w:r>
        <w:rPr>
          <w:b w:val="0"/>
          <w:i w:val="0"/>
        </w:rPr>
        <w:t>* Аллергические реакции отрицает</w:t>
      </w:r>
    </w:p>
    <w:p>
      <w:pPr>
        <w:spacing w:after="58"/>
      </w:pPr>
      <w:r>
        <w:rPr>
          <w:b w:val="0"/>
          <w:i w:val="0"/>
        </w:rPr>
        <w:t>Наследственность: не отягощена.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поступлении состояние тяжелое. Сознание спутанное. Рост 154 см. Вес 64 кг. Не лихорадит. Кожные покровы бледные, чистые. В легких дыхание жесткое, проводится равномерно во все отделы, хрипов нет. ЧД 24 в мин. SpO2 88%. Пульс слабого наполнения. Тоны сердца приглушены, аритмичные. ЧСС 28-36 в мин. АД 90/50 мм рт. ст. Живот мягкий, доступен глубокой пальпации, симптомов мышечной защиты нет. В области левого подреберья пальпируется корпус ЭКС, кожные покровы над корпусом не изменены, патологической подвижности, болезненности при пальпации нет. Печень +1.5 см из-под реберной дуги. Селезенка не увеличена. Диурез со слов матери до госпитализации адекватный.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 основании данных анамнеза, объективного осмотра и электрокардиографии наиболее вероятной причиной синкопальных состояний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полная атриовентрикулярная блокада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блокированная предсердная экстрасистолия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синдром слабости синусового узла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атриовентрикулярная диссоциация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полная атриовентрикулярная блокада</w:t>
      </w:r>
    </w:p>
    <w:p>
      <w:pPr>
        <w:ind w:left="504"/>
      </w:pPr>
      <w:r>
        <w:rPr>
          <w:b w:val="0"/>
          <w:i/>
        </w:rPr>
        <w:t>При полной АВ блокаде импульсы из предсердия полностью не проводятся к желудочкам. Поэтому предсердия и желудочки сокращаются независимо друг от друга, каждые в своем ритме: предсердия в более частом, чаще всего в результате импульсации из синусового узла, а желудочки - в ритме АВ соединения. При этом определяется довольно выраженная желудочковая брадикардия, и ритм желудочков, как правило, ригидный</w:t>
        <w:br/>
        <w:br/>
      </w:r>
      <w:hyperlink r:id="rId33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лабораторными методами обследования для уточнения причины возникновения полной атриовентрикулярной блокады у детей является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бактериологического анализа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биохимического анализа крови с оценкой уровня электролитов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определения уровня ревматоидного фактора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коагулограммы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определения уровня железа в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определения маркёров повреждения миокарда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бактериологического анализа; биохимического анализа крови с оценкой уровня электролитов; определения маркёров повреждения миокарда</w:t>
      </w:r>
    </w:p>
    <w:p>
      <w:pPr>
        <w:ind w:left="504"/>
      </w:pPr>
      <w:r>
        <w:rPr>
          <w:b w:val="0"/>
          <w:i/>
        </w:rPr>
        <w:t>Рекомендуется проведение бактериологического анализа и/или иммуноферментного анализа и/или диагностики с использованием полимеразноцепной реакции (ПЦР) Уровень убедительности рекомендаций 2 (уровень достоверности доказательств – А). Выполняется с целью верификации возбудителя вероятного текущего инфекционного процесса (аденовирусы, парвовирусы, вирус Эпштейна-Барр, вирусы кори и краснухи, цитомегаловирус, герпесвирусы, вирус иммунодефицита человека, стафилококки, стрептококки, бактерии дифтерии, клещевого энцефалита, болезни Лайма).</w:t>
        <w:br/>
        <w:br/>
      </w:r>
      <w:hyperlink r:id="rId33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биохимический анализ крови с оценкой уровня электролитов Уровень убедительности рекомендаций 2 (уровень достоверности доказательств – А). Выполняется у пациентов с АВ блокадами для исключения электролитных нарушений (гиперкалиемия и гиперкальциемия)</w:t>
        <w:br/>
        <w:br/>
      </w:r>
      <w:hyperlink r:id="rId33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биохимический анализ крови с оценкой уровня электролитов и маркёров повреждения миокарда (креатинфосфокинза-МВ фракция, тропонин I, белоксвязывающие жирные кислоты, лактатдегидрогеназа). Уровень убедительности рекомендаций 2 (уровень достоверности доказательств – А). Выполняется у пациентов с АВ блокадами для исключения электролитных нарушений (гиперкалиемия и гиперкальциемия) и оценки степени повреждения миокарда.</w:t>
        <w:br/>
        <w:br/>
      </w:r>
      <w:hyperlink r:id="rId33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Результаты лабораторных методов обследования</w:t>
      </w:r>
    </w:p>
    <w:p>
      <w:pPr>
        <w:pStyle w:val="Heading3"/>
      </w:pPr>
      <w:r>
        <w:t>4.1. Биохимический анализ крови с оценкой уровня электролитов</w:t>
      </w:r>
    </w:p>
    <w:p>
      <w:pPr>
        <w:spacing w:after="58"/>
      </w:pPr>
      <w:r>
        <w:rPr>
          <w:b w:val="0"/>
          <w:i w:val="0"/>
        </w:rPr>
        <w:t>СРб 2,7 мг/л, общий белок 67 г/л, глюкоза 4,5 ммоль/л, билирубин 14,7 мкмоль/л, АЛТ 11 ед/л, АСТ 18 ед/л, калий 4,5 ммоль/л, натрий 134 ммоль/л, холестерин 3,1 ммоль/л, креатинин 72 мкмоль/л, мочевина 6,8 ммоль/л, магний 0,75 ммоль/л, кальций общий 2,1 ммоль/л, кальций ионизированный 1,21 ммоль/л/л</w:t>
      </w:r>
    </w:p>
    <w:p>
      <w:pPr>
        <w:pStyle w:val="Heading3"/>
      </w:pPr>
      <w:r>
        <w:t>4.2. Бактериологический анализ</w:t>
      </w:r>
    </w:p>
    <w:p>
      <w:pPr>
        <w:spacing w:after="58"/>
      </w:pPr>
      <w:r>
        <w:rPr>
          <w:b w:val="0"/>
          <w:i w:val="0"/>
        </w:rPr>
        <w:t>Культуральный посев мазка и зева:</w:t>
      </w:r>
    </w:p>
    <w:p>
      <w:pPr>
        <w:spacing w:after="58"/>
      </w:pPr>
      <w:r>
        <w:rPr>
          <w:b w:val="0"/>
          <w:i w:val="0"/>
        </w:rPr>
        <w:t>При посеве выделены: Streptococcus salivarius умеренный рост</w:t>
      </w:r>
    </w:p>
    <w:p>
      <w:pPr>
        <w:spacing w:after="58"/>
      </w:pPr>
      <w:r>
        <w:rPr>
          <w:b w:val="0"/>
          <w:i w:val="0"/>
        </w:rPr>
        <w:t>Культуральный посев мазка из носа: роста микроорганизмов нет.</w:t>
      </w:r>
    </w:p>
    <w:p>
      <w:pPr>
        <w:spacing w:after="58"/>
      </w:pPr>
      <w:r>
        <w:rPr>
          <w:b w:val="0"/>
          <w:i w:val="0"/>
        </w:rPr>
        <w:t>Посев крови: роста микроорганизмов нет.</w:t>
      </w:r>
    </w:p>
    <w:p>
      <w:pPr>
        <w:pStyle w:val="Heading3"/>
      </w:pPr>
      <w:r>
        <w:t>4.3. Определение маркёров повреждения миокарда</w:t>
      </w:r>
    </w:p>
    <w:p>
      <w:pPr>
        <w:spacing w:after="58"/>
      </w:pPr>
      <w:r>
        <w:rPr>
          <w:b w:val="0"/>
          <w:i w:val="0"/>
        </w:rPr>
        <w:t>Лактатдегидрогеназа 221 Ед/л (125 - 220)</w:t>
      </w:r>
    </w:p>
    <w:p>
      <w:pPr>
        <w:spacing w:after="58"/>
      </w:pPr>
      <w:r>
        <w:rPr>
          <w:b w:val="0"/>
          <w:i w:val="0"/>
        </w:rPr>
        <w:t>Креатинфосфокиназа-МВ 20.1 Ед/л (0.0 - 24.0)</w:t>
      </w:r>
    </w:p>
    <w:p>
      <w:pPr>
        <w:spacing w:after="58"/>
      </w:pPr>
      <w:r>
        <w:rPr>
          <w:b w:val="0"/>
          <w:i w:val="0"/>
        </w:rPr>
        <w:t>Креатинкиназа общая 84 Ед/л (30.0 - 200.0)</w:t>
      </w:r>
    </w:p>
    <w:p>
      <w:pPr>
        <w:spacing w:after="58"/>
      </w:pPr>
      <w:r>
        <w:rPr>
          <w:b w:val="0"/>
          <w:i w:val="0"/>
        </w:rPr>
        <w:t>Тропонин I 0.001 нг/мл (0.0000 - 0.0340)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 необходимым для оценки состояния и причины выявленных изменений инструментальным методам обследования у данного пациента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рентгенограмму органов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эхокардиографию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суточное мониторирование АД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электроэнцефалографию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рентгенограмму органов грудной клетки; эхокардиографию</w:t>
      </w:r>
    </w:p>
    <w:p>
      <w:pPr>
        <w:ind w:left="504"/>
      </w:pPr>
      <w:r>
        <w:rPr>
          <w:b w:val="0"/>
          <w:i/>
        </w:rPr>
        <w:t>Рентгенография грудной клетки проводится для оценки позиции, целостности и запаса длины электрода (электродов), выявления возможного их натяжения или смещения (дислокации). Как правило, данное исследование проводится в условиях кардиохирургического стационара либо в условиях поликлиники при подозрении на нарушение работы ЭКС</w:t>
        <w:br/>
        <w:br/>
        <w:t>Электрокардиостимуляция в детском возрасте / Д.Ф. Егоров, О.Л. Гордеев, А.В. Адрианов, Е.С. Васичкина, Т.К. Кручина, С.В. Гуреев, Е.С. Анцупова // Диагностика и лечение пациентов с имплантированными антиаритмическими устройствами / Д.Ф. Егоров, О.Л. Гордеев. – СПб.: Человек, 2006. – Гл. 5. – С. 88–112</w:t>
      </w:r>
    </w:p>
    <w:p>
      <w:pPr>
        <w:ind w:left="504"/>
      </w:pPr>
      <w:r>
        <w:rPr>
          <w:b w:val="0"/>
          <w:i/>
        </w:rPr>
        <w:t>Рекомендуется проведение эхокардиографии (ЭхоКГ). Уровень убедительности рекомендаций 1 (уровень достоверности доказательств – А. Цель проведения данного исследования - это диагностика признаков аритмогенной кардиомиопатии. Под аритмогенной кардиомиопатией подразумевают вторичную обратимую дисфункцию миокарда, проявляющуюся дилатацией всех полостей, начиная с предсердных камер, с последующим снижением сократительной способности миокарда желудочков, возникновением относительной митральной регургитации и развитием застойной сердечной недостаточности.</w:t>
        <w:br/>
        <w:br/>
      </w:r>
      <w:hyperlink r:id="rId33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Результаты инструментальных методов обследования</w:t>
      </w:r>
    </w:p>
    <w:p>
      <w:pPr>
        <w:pStyle w:val="Heading3"/>
      </w:pPr>
      <w:r>
        <w:t>6.1. Рентгенограмма органов грудной клетки</w:t>
      </w:r>
    </w:p>
    <w:p>
      <w:pPr>
        <w:spacing w:after="58"/>
      </w:pPr>
      <w:r>
        <w:rPr>
          <w:b w:val="0"/>
          <w:i w:val="0"/>
        </w:rPr>
        <w:t>Легкие расправлены. Очаговых и инфильтративных изменений не выявлено. Корни не расширены. Тень сердца расширена в поперечнике КТИ 59%. Синусы свободны. Контур диафрагмы четкий Переломы электродов не визуализируются</w:t>
      </w:r>
    </w:p>
    <w:p>
      <w:pPr>
        <w:pStyle w:val="Heading3"/>
      </w:pPr>
      <w:r>
        <w:t>6.2. Эхокардиография</w:t>
      </w:r>
    </w:p>
    <w:p>
      <w:pPr>
        <w:spacing w:after="58"/>
      </w:pPr>
      <w:r>
        <w:rPr>
          <w:b w:val="0"/>
          <w:i w:val="0"/>
        </w:rPr>
        <w:t>КДР ЕЖ 58 мм. ФВ ЕЖ 56%, скорость на анастомозах удовлетворительная, недостаточность на АВ клапанах 1 степени. Тромбы в полостях отчетливо не визуализируются.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Наиболее вероятной причиной развития нарушений ритма сердца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Нарушение в работе электрокардиостимулятора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электролитных нарушений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Дисфункция анастомозов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Острый миокардит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Нарушение в работе электрокардиостимулятора</w:t>
      </w:r>
    </w:p>
    <w:p>
      <w:pPr>
        <w:ind w:left="504"/>
      </w:pPr>
      <w:r>
        <w:rPr>
          <w:b w:val="0"/>
          <w:i/>
        </w:rPr>
        <w:t>Имплантация водителя ритма нечасто ассоциируется с развитием предобморочных состояний или обмороков. В большинстве случае обморок не связан с работой водителя ритма. Однако его причинами являются истощение заряда батарейки или нарушение функции электродов.</w:t>
        <w:br/>
        <w:br/>
        <w:t>Учитывая длительный срок с момента имплантации (8 лет), отсутствие артефактов стимулов на ЭКГ, отсутствие данных о предыдущем программировании ЭКС, описанный факт травмы возможно истощение батареи ЭКС, повреждение электронной схемы ЭКС, повреждение электрода, плохой контакт электрода с аппаратной частью стимулятора</w:t>
        <w:br/>
        <w:br/>
        <w:t>Учитывая состояние после многоэтапной хирургической коррекции ВПС, возможно повышение порога стимуляции и блокада выхода стимула с электрода ЭКС, однако, на ЭКГ отсутствуют артефакты работы ЭКС</w:t>
        <w:br/>
        <w:br/>
        <w:t>Рекомендации ВНОА по проведению клинических электрофизиологических исследований, катетерной (радиочастотной) абляции и применению имплантируемых антиаритмических устройств, 2017. с 279</w:t>
      </w:r>
    </w:p>
    <w:p>
      <w:pPr>
        <w:pStyle w:val="Heading2"/>
      </w:pPr>
      <w:r>
        <w:t>8. Диагноз</w:t>
      </w:r>
    </w:p>
    <w:p>
      <w:pPr>
        <w:pStyle w:val="Heading3"/>
      </w:pPr>
      <w:r>
        <w:t>8.1. Нарушение в работе электрокардиостимулятора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Осложнением основного заболевания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наличие приступов Морганьи-Адамса-Стокса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аритмогенная кардиомиопатия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тромбообразование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идиовентрикулярный желудочковый ритм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приступов Морганьи-Адамса-Стокса</w:t>
      </w:r>
    </w:p>
    <w:p>
      <w:pPr>
        <w:ind w:left="504"/>
      </w:pPr>
      <w:r>
        <w:rPr>
          <w:b w:val="0"/>
          <w:i/>
        </w:rPr>
        <w:t>Приступы потери сознания (синдром Морганьи-Адамса-Стокса) являются самым выраженным клиническим проявлением АВ блокадыII-III степени. Причиной потери сознания являются длительные периоды асистолии желудочков, т. е. периоды отсутствия эффективных сокращений желудочков, возникающие в результате перехода АВ блокады II степени в полную АВ блокаду, когда еще не начал функционировать новый эктопический водитель ритма желудочков, расположенный ниже уровня блокады. Асистолия желудочков может развиться и при резком угнетении автоматизма эктопических центров II и III порядка при блокаде III степени.</w:t>
        <w:br/>
        <w:br/>
      </w:r>
      <w:hyperlink r:id="rId38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купирования критической брадикардии в неотложных ситуациях применяется +______________+ внутривенно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атропина сульфат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аденозин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дексаметазон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s.glucosae 40%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атропина сульфат</w:t>
      </w:r>
    </w:p>
    <w:p>
      <w:pPr>
        <w:ind w:left="504"/>
      </w:pPr>
      <w:r>
        <w:rPr>
          <w:b w:val="0"/>
          <w:i/>
        </w:rPr>
        <w:t>Рекомендуется назначение блокаторов М–холинергических рецепторов, стимуляторов β-адренергических рецепторов. (Сила рекомендаций – 1; достоверность доказательств – В). Цель медикаментозной терапии - купирование критической брадикардии в неотложных ситуациях в любом возрасте.</w:t>
        <w:br/>
        <w:br/>
      </w:r>
      <w:hyperlink r:id="rId33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Максимальная общая доза Атропина сульфата для подростков составляет +___+ мг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Атропина сульфат (Атропина сульфат) – препарата вводится в экстренных случаях внутривенно в дозе 0,02-0,04 мг/кг (минимальная разовая доза 0,1 мг). Доза может быть введена повторно каждые 5 минут до максимальной общей дозы 1 мг у детей и 2 мг у подростков.</w:t>
        <w:br/>
        <w:br/>
      </w:r>
      <w:hyperlink r:id="rId33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4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Программирование выявило истощение батареи электрокардиостимулятора. Пациенту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провести экстренную ревизию органов средостения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продолжить динамическое наблюдение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заменить электрокардиостимулятор в экстренном порядке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провести повторное программирование через 6 часов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заменить электрокардиостимулятор в экстренном порядке</w:t>
      </w:r>
    </w:p>
    <w:p>
      <w:pPr>
        <w:ind w:left="504"/>
      </w:pPr>
      <w:r>
        <w:rPr>
          <w:b w:val="0"/>
          <w:i/>
        </w:rPr>
        <w:t>Имплантация водителя ритма нечасто ассоциируется с развитием</w:t>
        <w:br/>
        <w:br/>
        <w:t>предобморочных состояний или обмороков. В большинстве случае обморок не связан с работой водителя ритма. Однако его причинами являются истощение заряда батарейки или нарушение функции электродов. Замена батарейки или электрода позволяет решить проблему.</w:t>
        <w:br/>
        <w:br/>
        <w:t>Рекомендации ВНОА по проведению клинических электрофизиологических исследований, катетерной (радиочастотной) абляции и применению имплантируемых антиаритмических устройств, 2017. с 280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Показаниями к внеплановому стационарному обследованию у пациента с атриовентрикулярной блокадой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проведение вакцинации по эпидемиологическим показаниям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перенесенное интеркуррентное заболевание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прогрессирование АВ блокады в ходе динамического наблюдения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подготовка к хирургическому лечению ЛОР-патологии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прогрессирование АВ блокады в ходе динамического наблюдения</w:t>
      </w:r>
    </w:p>
    <w:p>
      <w:pPr>
        <w:ind w:left="504"/>
      </w:pPr>
      <w:r>
        <w:rPr>
          <w:b w:val="0"/>
          <w:i/>
        </w:rPr>
        <w:t>При прогрессировании АВ блокады в ходе динамического наблюдения и/или появлении симптомов, связанных с брадикардией (утомляемость, головокружение, обмороки) выполняется внеплановое обследование в условиях стационара.</w:t>
        <w:br/>
        <w:br/>
      </w:r>
      <w:hyperlink r:id="rId33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4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Хирургическим методом лечения полной атриовентрикулярной блокады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имплантация кардиовертера-дефибриллятора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имплантация электрокардиостимулятора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радиочастотная аблация атриовентрикулярного соединения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электростимуляция блуждающего нерва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имплантация электрокардиостимулятора</w:t>
      </w:r>
    </w:p>
    <w:p>
      <w:pPr>
        <w:ind w:left="504"/>
      </w:pPr>
      <w:r>
        <w:rPr>
          <w:b w:val="0"/>
          <w:i/>
        </w:rPr>
        <w:t>Независимо от причины АВ блокады, при появлении симптомов, связанных с брадикардией, проводится хирургическое лечение – имплантация электрокардиостимулятора</w:t>
        <w:br/>
        <w:br/>
      </w:r>
      <w:hyperlink r:id="rId33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4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Согласно Федеральным клиническим рекомендациям «Атриовентрикулярная (предсердно-желудочковая) блокада у детей» эпикардиальная система для постоянной электрокардиостимуляции имплантируется пациентам с массой тела +_____+ кг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менее 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менее 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более 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более 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менее 15</w:t>
      </w:r>
    </w:p>
    <w:p>
      <w:pPr>
        <w:ind w:left="504"/>
      </w:pPr>
      <w:r>
        <w:rPr>
          <w:b w:val="0"/>
          <w:i/>
        </w:rPr>
        <w:t>До достижения веса 15 кг проводится имплантация электрокардиостимулятора с использованием только эпикардиальных электродов. Эндокардиальная имплантация электродов допустима по достижении ребенком массы тела равной 15 кг.</w:t>
        <w:br/>
        <w:br/>
      </w:r>
      <w:hyperlink r:id="rId33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4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Амбулаторное наблюдение бессимптомных пациентов с атриовентрикулярной блокадой включает выполнение суточного мониторирования ЭКГ и ультразвукового исследования сердца не реже одного раза в +__+ месяцев/месяц/месяца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ind w:left="504"/>
      </w:pPr>
      <w:r>
        <w:rPr>
          <w:b w:val="0"/>
          <w:i/>
        </w:rPr>
        <w:t>Дальнейшее амбулаторное наблюдение включает выполнение суточного мониторирования ЭКГ и ультразвукового исследования сердца не реже одного раза год.</w:t>
        <w:br/>
        <w:br/>
      </w:r>
      <w:hyperlink r:id="rId33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45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hyper_cardio_child_2024/" TargetMode="External"/><Relationship Id="rId10" Type="http://schemas.openxmlformats.org/officeDocument/2006/relationships/hyperlink" Target="https://library.mededtech.ru/rest/documents/hyper_cardio_child_2024/#list_item_m46dcp" TargetMode="External"/><Relationship Id="rId11" Type="http://schemas.openxmlformats.org/officeDocument/2006/relationships/hyperlink" Target="https://library.mededtech.ru/rest/documents/hyper_cardio_child_2024/#paragraph_sqkhud" TargetMode="External"/><Relationship Id="rId12" Type="http://schemas.openxmlformats.org/officeDocument/2006/relationships/hyperlink" Target="https://library.mededtech.ru/rest/documents/hyper_cardio_child_2024/#list_item_p6166g" TargetMode="External"/><Relationship Id="rId13" Type="http://schemas.openxmlformats.org/officeDocument/2006/relationships/hyperlink" Target="https://library.mededtech.ru/rest/documents/hyper_cardio_child_2024/#list_item_kqc36n" TargetMode="External"/><Relationship Id="rId14" Type="http://schemas.openxmlformats.org/officeDocument/2006/relationships/hyperlink" Target="https://library.mededtech.ru/rest/documents/hyper_cardio_child_2024/#list_item_jp6goa" TargetMode="External"/><Relationship Id="rId15" Type="http://schemas.openxmlformats.org/officeDocument/2006/relationships/hyperlink" Target="https://library.mededtech.ru/rest/documents/hyper_cardio_child_2024/#list_item_6s24g1" TargetMode="External"/><Relationship Id="rId16" Type="http://schemas.openxmlformats.org/officeDocument/2006/relationships/hyperlink" Target="https://library.mededtech.ru/rest/documents/hyper_cardio_child_2024/#paragraph_bk7ar1" TargetMode="External"/><Relationship Id="rId17" Type="http://schemas.openxmlformats.org/officeDocument/2006/relationships/hyperlink" Target="https://library.mededtech.ru/rest/documents/hyper_cardio_child_2024/#paragraph_c7c8pn" TargetMode="External"/><Relationship Id="rId18" Type="http://schemas.openxmlformats.org/officeDocument/2006/relationships/hyperlink" Target="https://library.mededtech.ru/rest/documents/KP569/" TargetMode="External"/><Relationship Id="rId19" Type="http://schemas.openxmlformats.org/officeDocument/2006/relationships/hyperlink" Target="https://library.mededtech.ru/rest/documents/KP569/#paragraph_k3u0fb" TargetMode="External"/><Relationship Id="rId20" Type="http://schemas.openxmlformats.org/officeDocument/2006/relationships/hyperlink" Target="https://library.mededtech.ru/rest/documents/KP569/#paragraph_d1i2v4" TargetMode="External"/><Relationship Id="rId21" Type="http://schemas.openxmlformats.org/officeDocument/2006/relationships/hyperlink" Target="https://library.mededtech.ru/rest/documents/hyper_cardio_child_2024/#paragraph_bdg0am" TargetMode="External"/><Relationship Id="rId22" Type="http://schemas.openxmlformats.org/officeDocument/2006/relationships/hyperlink" Target="https://library.mededtech.ru/rest/documents/hyper_cardio_child_2024/#paragraph_fnos20" TargetMode="External"/><Relationship Id="rId23" Type="http://schemas.openxmlformats.org/officeDocument/2006/relationships/hyperlink" Target="https://library.mededtech.ru/rest/documents/hyper_cardio_child_2024/#paragraph_8dt0e4" TargetMode="External"/><Relationship Id="rId24" Type="http://schemas.openxmlformats.org/officeDocument/2006/relationships/hyperlink" Target="https://library.mededtech.ru/rest/documents/hyper_cardio_child_2024/#list_item_1hmapl" TargetMode="External"/><Relationship Id="rId25" Type="http://schemas.openxmlformats.org/officeDocument/2006/relationships/hyperlink" Target="https://library.mededtech.ru/rest/documents/hyper_cardio_child_2024/#list_item_9uc421" TargetMode="External"/><Relationship Id="rId26" Type="http://schemas.openxmlformats.org/officeDocument/2006/relationships/hyperlink" Target="https://library.mededtech.ru/rest/documents/hyper_cardio_child_2024/#paragraph_t95he1" TargetMode="External"/><Relationship Id="rId27" Type="http://schemas.openxmlformats.org/officeDocument/2006/relationships/hyperlink" Target="https://library.mededtech.ru/rest/documents/hyper_cardio_child_2024/#list_item_1i43ec" TargetMode="External"/><Relationship Id="rId28" Type="http://schemas.openxmlformats.org/officeDocument/2006/relationships/hyperlink" Target="https://library.mededtech.ru/rest/documents/hyper_cardio_child_2024/#list_item_tgo2ke" TargetMode="External"/><Relationship Id="rId29" Type="http://schemas.openxmlformats.org/officeDocument/2006/relationships/hyperlink" Target="https://library.mededtech.ru/rest/documents/hyper_cardio_child_2024/#list_item_8g1b8r" TargetMode="External"/><Relationship Id="rId30" Type="http://schemas.openxmlformats.org/officeDocument/2006/relationships/image" Target="media/image1.jpg"/><Relationship Id="rId31" Type="http://schemas.openxmlformats.org/officeDocument/2006/relationships/image" Target="media/image2.jpg"/><Relationship Id="rId32" Type="http://schemas.openxmlformats.org/officeDocument/2006/relationships/image" Target="media/image3.png"/><Relationship Id="rId33" Type="http://schemas.openxmlformats.org/officeDocument/2006/relationships/hyperlink" Target="https://library.mededtech.ru/rest/documents/atrioventricular_blockade" TargetMode="External"/><Relationship Id="rId34" Type="http://schemas.openxmlformats.org/officeDocument/2006/relationships/hyperlink" Target="https://library.mededtech.ru/rest/documents/atrioventricular_blockade/#paragraph_0i3m9" TargetMode="External"/><Relationship Id="rId35" Type="http://schemas.openxmlformats.org/officeDocument/2006/relationships/hyperlink" Target="https://library.mededtech.ru/rest/documents/atrioventricular_blockade/#paragraph_20fmr" TargetMode="External"/><Relationship Id="rId36" Type="http://schemas.openxmlformats.org/officeDocument/2006/relationships/hyperlink" Target="https://library.mededtech.ru/rest/documents/atrioventricular_blockade/#paragraph_82cno" TargetMode="External"/><Relationship Id="rId37" Type="http://schemas.openxmlformats.org/officeDocument/2006/relationships/hyperlink" Target="https://library.mededtech.ru/rest/documents/atrioventricular_blockade/#paragraph_95drk" TargetMode="External"/><Relationship Id="rId38" Type="http://schemas.openxmlformats.org/officeDocument/2006/relationships/hyperlink" Target="https://library.mededtech.ru/rest/documents/cr_811/" TargetMode="External"/><Relationship Id="rId39" Type="http://schemas.openxmlformats.org/officeDocument/2006/relationships/hyperlink" Target="https://library.mededtech.ru/rest/documents/cr_811/#paragraph_np9qr" TargetMode="External"/><Relationship Id="rId40" Type="http://schemas.openxmlformats.org/officeDocument/2006/relationships/hyperlink" Target="https://library.mededtech.ru/rest/documents/atrioventricular_blockade/#list_item_tvc5d" TargetMode="External"/><Relationship Id="rId41" Type="http://schemas.openxmlformats.org/officeDocument/2006/relationships/hyperlink" Target="https://library.mededtech.ru/rest/documents/atrioventricular_blockade/#paragraph_bih8i" TargetMode="External"/><Relationship Id="rId42" Type="http://schemas.openxmlformats.org/officeDocument/2006/relationships/hyperlink" Target="https://library.mededtech.ru/rest/documents/atrioventricular_blockade/#paragraph_6m6h6" TargetMode="External"/><Relationship Id="rId43" Type="http://schemas.openxmlformats.org/officeDocument/2006/relationships/hyperlink" Target="https://library.mededtech.ru/rest/documents/atrioventricular_blockade/#paragraph_tfk99" TargetMode="External"/><Relationship Id="rId44" Type="http://schemas.openxmlformats.org/officeDocument/2006/relationships/hyperlink" Target="https://library.mededtech.ru/rest/documents/atrioventricular_blockade/#paragraph_39o0h" TargetMode="External"/><Relationship Id="rId45" Type="http://schemas.openxmlformats.org/officeDocument/2006/relationships/hyperlink" Target="https://library.mededtech.ru/rest/documents/atrioventricular_blockade/#paragraph_70o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